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63DAC" w14:textId="09E97F3B" w:rsidR="004F0694" w:rsidRPr="004F0694" w:rsidRDefault="004F0694" w:rsidP="004F069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  <w14:ligatures w14:val="none"/>
        </w:rPr>
        <w:t xml:space="preserve">ANKIETA KONKURSOWA </w:t>
      </w:r>
    </w:p>
    <w:p w14:paraId="1AB8C654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DANE PODSTAWOWE</w:t>
      </w:r>
    </w:p>
    <w:p w14:paraId="3D9D4BFF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Nazwa firmy: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</w:t>
      </w:r>
    </w:p>
    <w:p w14:paraId="56795A6A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Kategoria: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mikro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mała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średnia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duża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NGO</w:t>
      </w:r>
    </w:p>
    <w:p w14:paraId="088E7A1D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Rok założenia: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</w:t>
      </w:r>
    </w:p>
    <w:p w14:paraId="5CEF69B3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Główne PKD (kod + opis):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</w:t>
      </w:r>
    </w:p>
    <w:p w14:paraId="67B6D696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 PKD dodatkowe: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</w:t>
      </w:r>
    </w:p>
    <w:p w14:paraId="6C531B2C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6. Imię i nazwisko osoby wypełniającej ankietę: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</w:t>
      </w:r>
    </w:p>
    <w:p w14:paraId="4B46494A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7. Funkcja w firmie: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</w:t>
      </w:r>
    </w:p>
    <w:p w14:paraId="627681B5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CZĘŚĆ A. INNOWACYJNOŚĆ I ROZWÓJ</w:t>
      </w:r>
    </w:p>
    <w:p w14:paraId="775AF72F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A1. Wdrożone innowacje w ostatnich 24 miesiącach</w:t>
      </w:r>
    </w:p>
    <w:p w14:paraId="77C9BEA1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A1a. Rodzaj innowacji (zaznaczyć):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produktowe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procesowe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organizacyjne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marketingowe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brak</w:t>
      </w:r>
    </w:p>
    <w:p w14:paraId="11A330BC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A1b. Opis działań (max 500 znaków):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</w:t>
      </w:r>
    </w:p>
    <w:p w14:paraId="3C9154B8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A2. Zmiany technologiczne lub organizacyjne</w:t>
      </w:r>
    </w:p>
    <w:p w14:paraId="2E6BE811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A2a. Obszary zmian (zaznaczyć):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produkcja / operacje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zarządzanie / administracja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sprzedaż / marketing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logistyka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cyfryzacja / automatyzacja</w:t>
      </w:r>
    </w:p>
    <w:p w14:paraId="7CB2AA1D" w14:textId="50735F67" w:rsidR="004F0694" w:rsidRPr="004F0694" w:rsidRDefault="00DD2681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 xml:space="preserve"> </w:t>
      </w:r>
      <w:r w:rsidR="004F0694"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Inne obszary:</w:t>
      </w:r>
      <w:r w:rsidR="004F0694"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</w:t>
      </w:r>
    </w:p>
    <w:p w14:paraId="6D3527D9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A3. Nakłady inwestycyjne na B+R / rozwój</w:t>
      </w:r>
    </w:p>
    <w:p w14:paraId="2B469FDA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A3a. Poziom nakładów: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poniżej 1%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1–3%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4–7%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powyżej 7%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brak</w:t>
      </w:r>
    </w:p>
    <w:p w14:paraId="4F6F36F3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A4. Źródła finansowania</w:t>
      </w:r>
    </w:p>
    <w:p w14:paraId="789BF06D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A4a. Źródła (zaznaczyć):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Fundusze Europejskie 2021–2027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FEDS – Fundusze Europejskie dla Dolnego Śląska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Dolnośląski Fundusz Rozwoju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BGK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kredyty komercyjne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środki własne</w:t>
      </w:r>
    </w:p>
    <w:p w14:paraId="116371DF" w14:textId="0F89ADC0" w:rsidR="004F0694" w:rsidRPr="004F0694" w:rsidRDefault="00AF1405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 xml:space="preserve"> </w:t>
      </w:r>
      <w:r w:rsidR="004F0694"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Inne źródła:</w:t>
      </w:r>
      <w:r w:rsidR="004F0694"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</w:t>
      </w:r>
    </w:p>
    <w:p w14:paraId="2F143D9F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A5. Obszary wykorzystania środków (max 500 znaków)</w:t>
      </w:r>
    </w:p>
    <w:p w14:paraId="368CCCC9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</w:t>
      </w:r>
    </w:p>
    <w:p w14:paraId="5299148F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A6. Certyfikaty i znaki jakości</w:t>
      </w:r>
    </w:p>
    <w:p w14:paraId="55B68E1C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A6a. Rodzaje (zaznaczyć):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certyfikaty branżowe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produkt regionalny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produkt tradycyjny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certyfikaty jakości (np. ISO)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certyfikaty środowiskowe / ESG</w:t>
      </w:r>
    </w:p>
    <w:p w14:paraId="5776B20B" w14:textId="3DF6668E" w:rsidR="004F0694" w:rsidRPr="004F0694" w:rsidRDefault="003E65EF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 xml:space="preserve"> </w:t>
      </w:r>
      <w:r w:rsidR="004F0694"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Inne certyfikaty:</w:t>
      </w:r>
      <w:r w:rsidR="004F0694"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</w:t>
      </w:r>
    </w:p>
    <w:p w14:paraId="7F994315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A7. Promocja produktów i usług</w:t>
      </w:r>
    </w:p>
    <w:p w14:paraId="35AF7CD5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A7a. Formy promocji (zaznaczyć):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targi regionalne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krajowe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międzynarodowe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wydarzenia branżowe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konkursy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promocja online / </w:t>
      </w:r>
      <w:proofErr w:type="spellStart"/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social</w:t>
      </w:r>
      <w:proofErr w:type="spellEnd"/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media</w:t>
      </w:r>
    </w:p>
    <w:p w14:paraId="2854C921" w14:textId="1B86F029" w:rsidR="004F0694" w:rsidRPr="004F0694" w:rsidRDefault="003E65EF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 xml:space="preserve"> </w:t>
      </w:r>
      <w:r w:rsidR="004F0694"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Inne formy:</w:t>
      </w:r>
      <w:r w:rsidR="004F0694"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</w:t>
      </w:r>
    </w:p>
    <w:p w14:paraId="57B4B0FB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CZĘŚĆ B. ROZWÓJ EKONOMICZNY I STABILNOŚĆ</w:t>
      </w:r>
    </w:p>
    <w:p w14:paraId="49F67DA7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B1. Dynamika przychodów</w:t>
      </w:r>
    </w:p>
    <w:p w14:paraId="103F3BCC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spadek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stabilnie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wzrost do 10%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wzrost 10–25%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wzrost powyżej 25%</w:t>
      </w:r>
    </w:p>
    <w:p w14:paraId="64E5C990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B2. Dynamika zatrudnienia</w:t>
      </w:r>
    </w:p>
    <w:p w14:paraId="5E728BF4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spadek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bez zmian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wzrost do 10%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wzrost powyżej 10%</w:t>
      </w:r>
    </w:p>
    <w:p w14:paraId="6B6FE608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B3. Eksport</w:t>
      </w:r>
    </w:p>
    <w:p w14:paraId="3ED8AB4E" w14:textId="7F7B2904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eksport &gt; 50% przychodów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eksport ≤ 50% przychodów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eksport planowany</w:t>
      </w:r>
      <w:r w:rsidR="003E65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przyszłości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brak eksportu</w:t>
      </w:r>
    </w:p>
    <w:p w14:paraId="1930A67B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B4. Stabilność finansowa</w:t>
      </w:r>
    </w:p>
    <w:p w14:paraId="7A6F79AC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bardzo wysoka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wysoka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średnia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niska</w:t>
      </w:r>
    </w:p>
    <w:p w14:paraId="219BB625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B5. Główna przewaga konkurencyjna (max 300 znaków)</w:t>
      </w:r>
    </w:p>
    <w:p w14:paraId="6DA76A40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</w:t>
      </w:r>
    </w:p>
    <w:p w14:paraId="4AA41E06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CZĘŚĆ C. SUKCESJA I ŁAD RODZINNY</w:t>
      </w:r>
    </w:p>
    <w:p w14:paraId="1520A0ED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C1. Plan sukcesji</w:t>
      </w:r>
    </w:p>
    <w:p w14:paraId="1FCA6849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formalny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nieformalny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przygotowaniu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brak</w:t>
      </w:r>
    </w:p>
    <w:p w14:paraId="330F773C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C2. Pokolenie zarządzające</w:t>
      </w:r>
    </w:p>
    <w:p w14:paraId="735E13E8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II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III lub dalsze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model mieszany</w:t>
      </w:r>
    </w:p>
    <w:p w14:paraId="7B2EA6AF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C3. Etap sukcesji</w:t>
      </w:r>
    </w:p>
    <w:p w14:paraId="47BD8E12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wstępne rozważanie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planowanie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przygotowanie następcy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realizacja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zakończenie</w:t>
      </w:r>
    </w:p>
    <w:p w14:paraId="4E00242D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C4. Oddzielenie sfer prywatnych od biznesowych</w:t>
      </w:r>
    </w:p>
    <w:p w14:paraId="7678B1CE" w14:textId="77777777" w:rsidR="004F0694" w:rsidRDefault="004F0694" w:rsidP="004F0694">
      <w:pPr>
        <w:spacing w:before="100" w:beforeAutospacing="1" w:after="100" w:afterAutospacing="1" w:line="240" w:lineRule="auto"/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w skali 1–5: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2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3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4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5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</w:p>
    <w:p w14:paraId="4DB609D3" w14:textId="375CFFA4" w:rsidR="004F0694" w:rsidRDefault="004F0694" w:rsidP="004F0694">
      <w:pPr>
        <w:pStyle w:val="NormalnyWeb"/>
      </w:pPr>
      <w:r>
        <w:rPr>
          <w:rStyle w:val="Pogrubienie"/>
          <w:rFonts w:eastAsiaTheme="majorEastAsia"/>
        </w:rPr>
        <w:t>1 – brak oddzielenia</w:t>
      </w:r>
      <w:r>
        <w:t xml:space="preserve"> Sprawy prywatne i biznesowe są ze sobą silnie wymieszane. Decyzje biznesowe często wynikają z relacji rodzinnych, finanse prywatne i firmowe się przenikają.</w:t>
      </w:r>
    </w:p>
    <w:p w14:paraId="5BA3B699" w14:textId="51976BE2" w:rsidR="004F0694" w:rsidRDefault="004F0694" w:rsidP="004F0694">
      <w:pPr>
        <w:pStyle w:val="NormalnyWeb"/>
      </w:pPr>
      <w:r>
        <w:rPr>
          <w:rStyle w:val="Pogrubienie"/>
          <w:rFonts w:eastAsiaTheme="majorEastAsia"/>
        </w:rPr>
        <w:t>2 – niski poziom oddzielenia</w:t>
      </w:r>
      <w:r>
        <w:t xml:space="preserve"> Występuje pewne rozróżnienie, ale nadal wiele kwestii prywatnych wpływa na firmę.</w:t>
      </w:r>
    </w:p>
    <w:p w14:paraId="32A0E858" w14:textId="0A0DB16F" w:rsidR="004F0694" w:rsidRDefault="004F0694" w:rsidP="004F0694">
      <w:pPr>
        <w:pStyle w:val="NormalnyWeb"/>
      </w:pPr>
      <w:r>
        <w:rPr>
          <w:rStyle w:val="Pogrubienie"/>
          <w:rFonts w:eastAsiaTheme="majorEastAsia"/>
        </w:rPr>
        <w:t>3 – umiarkowane oddzielenie</w:t>
      </w:r>
      <w:r>
        <w:t xml:space="preserve"> Część procesów jest formalna, ale nadal zdarzają się sytuacje, w których sprawy rodzinne wpływają na decyzje biznesowe.</w:t>
      </w:r>
    </w:p>
    <w:p w14:paraId="61FE4CDC" w14:textId="7D27596B" w:rsidR="004F0694" w:rsidRDefault="004F0694" w:rsidP="004F0694">
      <w:pPr>
        <w:pStyle w:val="NormalnyWeb"/>
      </w:pPr>
      <w:r>
        <w:rPr>
          <w:rStyle w:val="Pogrubienie"/>
          <w:rFonts w:eastAsiaTheme="majorEastAsia"/>
        </w:rPr>
        <w:t>4 – wysoki poziom oddzielenia</w:t>
      </w:r>
      <w:r>
        <w:t xml:space="preserve"> Większość procesów jest uporządkowana, a sfera prywatna rzadko ingeruje w firmę.</w:t>
      </w:r>
    </w:p>
    <w:p w14:paraId="27A94BD8" w14:textId="4ECBCBB5" w:rsidR="004F0694" w:rsidRPr="004F0694" w:rsidRDefault="004F0694" w:rsidP="004F0694">
      <w:pPr>
        <w:pStyle w:val="NormalnyWeb"/>
      </w:pPr>
      <w:r>
        <w:rPr>
          <w:rStyle w:val="Pogrubienie"/>
          <w:rFonts w:eastAsiaTheme="majorEastAsia"/>
        </w:rPr>
        <w:t>5 – pełne oddzielenie</w:t>
      </w:r>
      <w:r>
        <w:t xml:space="preserve"> Firma działa jak profesjonalna organizacja, a kwestie rodzinne nie wpływają na decyzje, finanse ani strukturę zarządzania.</w:t>
      </w:r>
    </w:p>
    <w:p w14:paraId="0F4A156A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C5. Wpływ konfliktów rodzinnych</w:t>
      </w:r>
    </w:p>
    <w:p w14:paraId="28243470" w14:textId="77777777" w:rsidR="004F0694" w:rsidRDefault="004F0694" w:rsidP="004F0694">
      <w:pPr>
        <w:spacing w:before="100" w:beforeAutospacing="1" w:after="100" w:afterAutospacing="1" w:line="240" w:lineRule="auto"/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C5a. Ocena wpływu (skala 1–5):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2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3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4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5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</w:p>
    <w:p w14:paraId="42023FCE" w14:textId="73B34D90" w:rsidR="004F0694" w:rsidRPr="00F70FC4" w:rsidRDefault="004F0694" w:rsidP="004F0694">
      <w:pPr>
        <w:pStyle w:val="NormalnyWeb"/>
        <w:rPr>
          <w:b/>
          <w:bCs/>
        </w:rPr>
      </w:pPr>
      <w:r w:rsidRPr="00F70FC4">
        <w:rPr>
          <w:rStyle w:val="Pogrubienie"/>
          <w:rFonts w:eastAsiaTheme="majorEastAsia"/>
          <w:b w:val="0"/>
          <w:bCs w:val="0"/>
        </w:rPr>
        <w:t>1 – brak wpływu</w:t>
      </w:r>
      <w:r w:rsidRPr="00F70FC4">
        <w:rPr>
          <w:b/>
          <w:bCs/>
        </w:rPr>
        <w:t xml:space="preserve"> </w:t>
      </w:r>
    </w:p>
    <w:p w14:paraId="6B569647" w14:textId="40B378D6" w:rsidR="004F0694" w:rsidRPr="00F70FC4" w:rsidRDefault="004F0694" w:rsidP="004F0694">
      <w:pPr>
        <w:pStyle w:val="NormalnyWeb"/>
        <w:rPr>
          <w:b/>
          <w:bCs/>
        </w:rPr>
      </w:pPr>
      <w:r w:rsidRPr="00F70FC4">
        <w:rPr>
          <w:rStyle w:val="Pogrubienie"/>
          <w:rFonts w:eastAsiaTheme="majorEastAsia"/>
          <w:b w:val="0"/>
          <w:bCs w:val="0"/>
        </w:rPr>
        <w:t>2 – bardzo mały wpływ</w:t>
      </w:r>
      <w:r w:rsidRPr="00F70FC4">
        <w:rPr>
          <w:b/>
          <w:bCs/>
        </w:rPr>
        <w:t xml:space="preserve"> </w:t>
      </w:r>
    </w:p>
    <w:p w14:paraId="73D016D4" w14:textId="402F7665" w:rsidR="004F0694" w:rsidRPr="00F70FC4" w:rsidRDefault="004F0694" w:rsidP="004F0694">
      <w:pPr>
        <w:pStyle w:val="NormalnyWeb"/>
        <w:rPr>
          <w:b/>
          <w:bCs/>
        </w:rPr>
      </w:pPr>
      <w:r w:rsidRPr="00F70FC4">
        <w:rPr>
          <w:rStyle w:val="Pogrubienie"/>
          <w:rFonts w:eastAsiaTheme="majorEastAsia"/>
          <w:b w:val="0"/>
          <w:bCs w:val="0"/>
        </w:rPr>
        <w:t>3 – umiarkowany wpływ</w:t>
      </w:r>
      <w:r w:rsidRPr="00F70FC4">
        <w:rPr>
          <w:b/>
          <w:bCs/>
        </w:rPr>
        <w:t xml:space="preserve"> </w:t>
      </w:r>
    </w:p>
    <w:p w14:paraId="1108B8BB" w14:textId="77DDD38F" w:rsidR="004F0694" w:rsidRPr="00F70FC4" w:rsidRDefault="004F0694" w:rsidP="004F0694">
      <w:pPr>
        <w:pStyle w:val="NormalnyWeb"/>
        <w:rPr>
          <w:b/>
          <w:bCs/>
        </w:rPr>
      </w:pPr>
      <w:r w:rsidRPr="00F70FC4">
        <w:rPr>
          <w:rStyle w:val="Pogrubienie"/>
          <w:rFonts w:eastAsiaTheme="majorEastAsia"/>
          <w:b w:val="0"/>
          <w:bCs w:val="0"/>
        </w:rPr>
        <w:lastRenderedPageBreak/>
        <w:t>4 – duży wpływ</w:t>
      </w:r>
      <w:r w:rsidRPr="00F70FC4">
        <w:rPr>
          <w:b/>
          <w:bCs/>
        </w:rPr>
        <w:t>.</w:t>
      </w:r>
    </w:p>
    <w:p w14:paraId="346FD740" w14:textId="140A111C" w:rsidR="004F0694" w:rsidRPr="004F0694" w:rsidRDefault="004F0694" w:rsidP="004F0694">
      <w:pPr>
        <w:pStyle w:val="NormalnyWeb"/>
        <w:rPr>
          <w:b/>
          <w:bCs/>
        </w:rPr>
      </w:pPr>
      <w:r w:rsidRPr="00F70FC4">
        <w:rPr>
          <w:rStyle w:val="Pogrubienie"/>
          <w:rFonts w:eastAsiaTheme="majorEastAsia"/>
          <w:b w:val="0"/>
          <w:bCs w:val="0"/>
        </w:rPr>
        <w:t>5 – bardzo silny wpływ</w:t>
      </w:r>
      <w:r w:rsidRPr="00F70FC4">
        <w:rPr>
          <w:b/>
          <w:bCs/>
        </w:rPr>
        <w:t xml:space="preserve"> </w:t>
      </w:r>
    </w:p>
    <w:p w14:paraId="0FFC779E" w14:textId="4D4DE79F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C5b. Obszary konfliktów (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proszę </w:t>
      </w: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zaznaczyć):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decyzje strategiczne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finanse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organizacja pracy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motywacja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relacje interpersonalne</w:t>
      </w:r>
    </w:p>
    <w:p w14:paraId="6385B473" w14:textId="4D701A01" w:rsidR="004F0694" w:rsidRPr="004F0694" w:rsidRDefault="00BB3A4B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 xml:space="preserve"> </w:t>
      </w:r>
      <w:r w:rsidR="004F0694"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Inne obszary:</w:t>
      </w:r>
      <w:r w:rsidR="004F0694"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</w:t>
      </w:r>
    </w:p>
    <w:p w14:paraId="1B6887A1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C6. Wartości rodzinne</w:t>
      </w:r>
    </w:p>
    <w:p w14:paraId="1427FBE4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C6a. Lista wartości (max 5):</w:t>
      </w:r>
    </w:p>
    <w:p w14:paraId="5CF7097B" w14:textId="77777777" w:rsidR="004F0694" w:rsidRPr="004F0694" w:rsidRDefault="004F0694" w:rsidP="004F06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</w:t>
      </w:r>
    </w:p>
    <w:p w14:paraId="0C33A19B" w14:textId="77777777" w:rsidR="004F0694" w:rsidRPr="004F0694" w:rsidRDefault="004F0694" w:rsidP="004F06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</w:t>
      </w:r>
    </w:p>
    <w:p w14:paraId="33CB7CB1" w14:textId="77777777" w:rsidR="004F0694" w:rsidRPr="004F0694" w:rsidRDefault="004F0694" w:rsidP="004F06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</w:t>
      </w:r>
    </w:p>
    <w:p w14:paraId="207B73C9" w14:textId="77777777" w:rsidR="004F0694" w:rsidRPr="004F0694" w:rsidRDefault="004F0694" w:rsidP="004F06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</w:t>
      </w:r>
    </w:p>
    <w:p w14:paraId="3B15A58F" w14:textId="77777777" w:rsidR="004F0694" w:rsidRPr="004F0694" w:rsidRDefault="004F0694" w:rsidP="004F06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</w:t>
      </w:r>
    </w:p>
    <w:p w14:paraId="487D39FD" w14:textId="61F6B590" w:rsidR="004F0694" w:rsidRDefault="004F0694" w:rsidP="004F0694">
      <w:pPr>
        <w:spacing w:before="100" w:beforeAutospacing="1" w:after="100" w:afterAutospacing="1" w:line="240" w:lineRule="auto"/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C6b. Ocena zgodności </w:t>
      </w:r>
      <w:r w:rsidR="00BB3A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przedstawionych wartości </w:t>
      </w: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 praktyką (skala 1–5):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2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3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4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</w:p>
    <w:p w14:paraId="20BBC52B" w14:textId="2DECD48C" w:rsidR="00BB3A4B" w:rsidRPr="004F0694" w:rsidRDefault="00BB3A4B" w:rsidP="00BB3A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1 - </w:t>
      </w:r>
      <w:r w:rsidRPr="00BB3A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brak zgodności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2 - </w:t>
      </w:r>
      <w:r w:rsidRPr="00BB3A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niska zgodność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3 - </w:t>
      </w:r>
      <w:r w:rsidRPr="00BB3A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umiarkowana zgodność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4 - </w:t>
      </w:r>
      <w:r w:rsidRPr="00BB3A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pełna zgodność</w:t>
      </w:r>
    </w:p>
    <w:p w14:paraId="07266CFD" w14:textId="5006DFFA" w:rsidR="004F0694" w:rsidRPr="004F0694" w:rsidRDefault="00BB3A4B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 xml:space="preserve"> </w:t>
      </w:r>
      <w:r w:rsidR="004F0694"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Komentarz:</w:t>
      </w:r>
      <w:r w:rsidR="004F0694"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</w:t>
      </w:r>
    </w:p>
    <w:p w14:paraId="682FE3B9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C7. Kryteria oceny lojalności pracowników spoza rodziny</w:t>
      </w:r>
    </w:p>
    <w:p w14:paraId="10402ACB" w14:textId="330DAE06" w:rsidR="004F0694" w:rsidRDefault="004F0694" w:rsidP="004F0694">
      <w:pPr>
        <w:spacing w:before="100" w:beforeAutospacing="1" w:after="100" w:afterAutospacing="1" w:line="240" w:lineRule="auto"/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C7a. Kryteria (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proszę </w:t>
      </w: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zaznaczyć):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staż pracy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zaangażowanie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opinie klientów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system ocen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rozwój kompetencji</w:t>
      </w:r>
      <w:r w:rsidR="00BB3A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="00BB3A4B"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="00BB3A4B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 xml:space="preserve"> inne – jakie</w:t>
      </w:r>
    </w:p>
    <w:p w14:paraId="2ED9EA1B" w14:textId="211E5A38" w:rsidR="00BB3A4B" w:rsidRPr="004F0694" w:rsidRDefault="00BB3A4B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…………………………………………………………………………………………….</w:t>
      </w:r>
    </w:p>
    <w:p w14:paraId="58AE0E84" w14:textId="62DEA025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C8. Konflikty w miejscu pracy</w:t>
      </w:r>
      <w:r w:rsidR="00BB3A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 ciągu ostatnich 24 miesięcy</w:t>
      </w:r>
    </w:p>
    <w:p w14:paraId="286FB672" w14:textId="6D1C13FE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C8a. Rodzaje konfliktów (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proszę </w:t>
      </w: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zaznaczyć):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 wystąpiły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wynagrodzenia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organizacja pracy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bezpieczeństwo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spory formalne</w:t>
      </w:r>
    </w:p>
    <w:p w14:paraId="60B6FABE" w14:textId="16528308" w:rsidR="004F0694" w:rsidRPr="004F0694" w:rsidRDefault="00BB3A4B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 xml:space="preserve"> </w:t>
      </w:r>
      <w:r w:rsidR="004F0694"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Inne konflikty:</w:t>
      </w:r>
      <w:r w:rsidR="004F0694"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</w:t>
      </w:r>
    </w:p>
    <w:p w14:paraId="66BE483A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CZĘŚĆ D. ODPOWIEDZIALNOŚĆ SPOŁECZNA I ŚRODOWISKOWA</w:t>
      </w:r>
    </w:p>
    <w:p w14:paraId="2CE5C6EB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D1. Zaangażowanie lokalne</w:t>
      </w:r>
    </w:p>
    <w:p w14:paraId="1E862A0A" w14:textId="77777777" w:rsid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D1a. Forma: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finansowa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rzeczowa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wolontariat </w:t>
      </w:r>
    </w:p>
    <w:p w14:paraId="66CB11D5" w14:textId="77777777" w:rsid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D1b. Rola: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sponsor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partner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organizator </w:t>
      </w:r>
    </w:p>
    <w:p w14:paraId="060CE3CA" w14:textId="1C078020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D1c. Zasięg: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lokalny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regionalny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krajowy</w:t>
      </w:r>
    </w:p>
    <w:p w14:paraId="378B7BA0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D2. Rozwiązania proekologiczne</w:t>
      </w:r>
    </w:p>
    <w:p w14:paraId="7D126849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D2a. Status wdrożenia: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wdrożone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trakcie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planowane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brak</w:t>
      </w:r>
    </w:p>
    <w:p w14:paraId="4637BD71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D2b. Opis (max 500 znaków):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</w:t>
      </w:r>
    </w:p>
    <w:p w14:paraId="636B7AE1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D3. Kodeks etyczny</w:t>
      </w:r>
    </w:p>
    <w:p w14:paraId="2D55F9FB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D3a. Rodzaj kodeksu: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formalny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nieformalny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brak</w:t>
      </w:r>
    </w:p>
    <w:p w14:paraId="5663EFC5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CZĘŚĆ E. ZDOLNOŚĆ ADAPTACYJNA</w:t>
      </w:r>
    </w:p>
    <w:p w14:paraId="52F22D62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E1. Ocena adaptacji do zmian rynkowych (skala 1–5)</w:t>
      </w:r>
    </w:p>
    <w:p w14:paraId="2FC3FA1F" w14:textId="77777777" w:rsidR="004F0694" w:rsidRDefault="004F0694" w:rsidP="004F0694">
      <w:pPr>
        <w:spacing w:before="100" w:beforeAutospacing="1" w:after="100" w:afterAutospacing="1" w:line="240" w:lineRule="auto"/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2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3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4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5 </w:t>
      </w:r>
      <w:r w:rsidRPr="004F0694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</w:p>
    <w:p w14:paraId="5A7CCA42" w14:textId="2C40CB2B" w:rsidR="00F70FC4" w:rsidRPr="00F70FC4" w:rsidRDefault="00F70FC4" w:rsidP="00F70FC4">
      <w:pPr>
        <w:pStyle w:val="NormalnyWeb"/>
        <w:rPr>
          <w:b/>
          <w:bCs/>
        </w:rPr>
      </w:pPr>
      <w:r w:rsidRPr="00F70FC4">
        <w:rPr>
          <w:rStyle w:val="Pogrubienie"/>
          <w:rFonts w:eastAsiaTheme="majorEastAsia"/>
          <w:b w:val="0"/>
          <w:bCs w:val="0"/>
        </w:rPr>
        <w:t>1 – bardzo niski poziom adaptacji</w:t>
      </w:r>
      <w:r w:rsidRPr="00F70FC4">
        <w:rPr>
          <w:b/>
          <w:bCs/>
        </w:rPr>
        <w:t xml:space="preserve"> </w:t>
      </w:r>
    </w:p>
    <w:p w14:paraId="00683134" w14:textId="4CBEEF8F" w:rsidR="00F70FC4" w:rsidRPr="00F70FC4" w:rsidRDefault="00F70FC4" w:rsidP="00F70FC4">
      <w:pPr>
        <w:pStyle w:val="NormalnyWeb"/>
        <w:rPr>
          <w:b/>
          <w:bCs/>
        </w:rPr>
      </w:pPr>
      <w:r w:rsidRPr="00F70FC4">
        <w:rPr>
          <w:rStyle w:val="Pogrubienie"/>
          <w:rFonts w:eastAsiaTheme="majorEastAsia"/>
          <w:b w:val="0"/>
          <w:bCs w:val="0"/>
        </w:rPr>
        <w:t>2 – niski poziom adaptacji</w:t>
      </w:r>
      <w:r w:rsidRPr="00F70FC4">
        <w:rPr>
          <w:b/>
          <w:bCs/>
        </w:rPr>
        <w:t xml:space="preserve"> </w:t>
      </w:r>
    </w:p>
    <w:p w14:paraId="38344898" w14:textId="53F930F7" w:rsidR="00F70FC4" w:rsidRPr="00F70FC4" w:rsidRDefault="00F70FC4" w:rsidP="00F70FC4">
      <w:pPr>
        <w:pStyle w:val="NormalnyWeb"/>
        <w:rPr>
          <w:b/>
          <w:bCs/>
        </w:rPr>
      </w:pPr>
      <w:r w:rsidRPr="00F70FC4">
        <w:rPr>
          <w:rStyle w:val="Pogrubienie"/>
          <w:rFonts w:eastAsiaTheme="majorEastAsia"/>
          <w:b w:val="0"/>
          <w:bCs w:val="0"/>
        </w:rPr>
        <w:t>3 – umiarkowany poziom adaptacji</w:t>
      </w:r>
      <w:r w:rsidRPr="00F70FC4">
        <w:rPr>
          <w:b/>
          <w:bCs/>
        </w:rPr>
        <w:t xml:space="preserve"> </w:t>
      </w:r>
    </w:p>
    <w:p w14:paraId="48D1CB9B" w14:textId="19D862C7" w:rsidR="00F70FC4" w:rsidRPr="00F70FC4" w:rsidRDefault="00F70FC4" w:rsidP="00F70FC4">
      <w:pPr>
        <w:pStyle w:val="NormalnyWeb"/>
        <w:rPr>
          <w:b/>
          <w:bCs/>
        </w:rPr>
      </w:pPr>
      <w:r w:rsidRPr="00F70FC4">
        <w:rPr>
          <w:rStyle w:val="Pogrubienie"/>
          <w:rFonts w:eastAsiaTheme="majorEastAsia"/>
          <w:b w:val="0"/>
          <w:bCs w:val="0"/>
        </w:rPr>
        <w:t>4 – wysoki poziom adaptacji</w:t>
      </w:r>
      <w:r w:rsidRPr="00F70FC4">
        <w:rPr>
          <w:b/>
          <w:bCs/>
        </w:rPr>
        <w:t xml:space="preserve"> </w:t>
      </w:r>
    </w:p>
    <w:p w14:paraId="714D690B" w14:textId="1D52271D" w:rsidR="00F70FC4" w:rsidRPr="004F0694" w:rsidRDefault="00F70FC4" w:rsidP="00F70FC4">
      <w:pPr>
        <w:pStyle w:val="NormalnyWeb"/>
        <w:rPr>
          <w:b/>
          <w:bCs/>
        </w:rPr>
      </w:pPr>
      <w:r w:rsidRPr="00F70FC4">
        <w:rPr>
          <w:rStyle w:val="Pogrubienie"/>
          <w:rFonts w:eastAsiaTheme="majorEastAsia"/>
          <w:b w:val="0"/>
          <w:bCs w:val="0"/>
        </w:rPr>
        <w:t>5 – bardzo wysoki poziom adaptacji</w:t>
      </w:r>
      <w:r w:rsidRPr="00F70FC4">
        <w:rPr>
          <w:b/>
          <w:bCs/>
        </w:rPr>
        <w:t xml:space="preserve"> </w:t>
      </w:r>
    </w:p>
    <w:p w14:paraId="0C5F31DC" w14:textId="4863BC95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E2. Przykład adaptacji (max </w:t>
      </w:r>
      <w:r w:rsidR="00BB3A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00 znaków)</w:t>
      </w:r>
    </w:p>
    <w:p w14:paraId="3B087A0C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</w:t>
      </w:r>
    </w:p>
    <w:p w14:paraId="4F3EEFE1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CZĘŚĆ F. TOŻSAMOŚĆ FIRMY RODZINNEJ</w:t>
      </w:r>
    </w:p>
    <w:p w14:paraId="3C857C8E" w14:textId="48E9F701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F1. Historia firmy rodzinnej</w:t>
      </w:r>
      <w:r w:rsidR="00E117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(max </w:t>
      </w:r>
      <w:r w:rsidR="00E117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00 znaków)</w:t>
      </w:r>
    </w:p>
    <w:p w14:paraId="68082A0D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</w:t>
      </w:r>
    </w:p>
    <w:p w14:paraId="1C422617" w14:textId="77777777" w:rsidR="004F0694" w:rsidRPr="004F0694" w:rsidRDefault="004F0694" w:rsidP="004F06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F2. Tradycje rodzinne (max 500 znaków)</w:t>
      </w:r>
    </w:p>
    <w:p w14:paraId="30BC1361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</w:t>
      </w:r>
    </w:p>
    <w:p w14:paraId="3A402D9B" w14:textId="725118F3" w:rsidR="004F0694" w:rsidRPr="004F0694" w:rsidRDefault="004F0694" w:rsidP="00E1176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F3. Relacje międzypokoleniowe (max 500 znaków)</w:t>
      </w:r>
      <w:r w:rsidR="00E117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def. </w:t>
      </w:r>
      <w:r w:rsidR="00E1176A" w:rsidRPr="00E117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pokolenie – grupa członków rodziny należących do tej samej generacji zaangażowanych w działalność przedsiębiorstwa (źródło: opracowanie własne na potrzeby badania).</w:t>
      </w:r>
    </w:p>
    <w:p w14:paraId="4B226415" w14:textId="77777777" w:rsidR="004F0694" w:rsidRPr="004F0694" w:rsidRDefault="004F0694" w:rsidP="004F0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06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</w:t>
      </w:r>
    </w:p>
    <w:p w14:paraId="7026BAAE" w14:textId="77777777" w:rsidR="000419D0" w:rsidRPr="000419D0" w:rsidRDefault="000419D0" w:rsidP="000419D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  <w14:ligatures w14:val="none"/>
        </w:rPr>
      </w:pPr>
      <w:bookmarkStart w:id="0" w:name="_GoBack"/>
      <w:bookmarkEnd w:id="0"/>
      <w:r w:rsidRPr="000419D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  <w14:ligatures w14:val="none"/>
        </w:rPr>
        <w:t>INFORMACJA KOŃCOWA</w:t>
      </w:r>
    </w:p>
    <w:p w14:paraId="18D49C46" w14:textId="77777777" w:rsidR="000419D0" w:rsidRPr="000419D0" w:rsidRDefault="000419D0" w:rsidP="000419D0">
      <w:pPr>
        <w:rPr>
          <w:rFonts w:ascii="Times New Roman" w:hAnsi="Times New Roman" w:cs="Times New Roman"/>
          <w:sz w:val="24"/>
          <w:szCs w:val="24"/>
        </w:rPr>
      </w:pPr>
      <w:r w:rsidRPr="000419D0">
        <w:rPr>
          <w:rFonts w:ascii="Times New Roman" w:hAnsi="Times New Roman" w:cs="Times New Roman"/>
          <w:sz w:val="24"/>
          <w:szCs w:val="24"/>
        </w:rPr>
        <w:t xml:space="preserve">Regulamin konkursu wraz z załącznikami jest dostępny na stronie: </w:t>
      </w:r>
      <w:hyperlink r:id="rId5" w:history="1">
        <w:r w:rsidRPr="000419D0">
          <w:rPr>
            <w:rStyle w:val="Hipercze"/>
            <w:rFonts w:ascii="Times New Roman" w:hAnsi="Times New Roman" w:cs="Times New Roman"/>
            <w:sz w:val="24"/>
            <w:szCs w:val="24"/>
          </w:rPr>
          <w:t>https://firmyrodzinne.pwr.edu.pl/</w:t>
        </w:r>
      </w:hyperlink>
      <w:r w:rsidRPr="000419D0">
        <w:rPr>
          <w:rFonts w:ascii="Times New Roman" w:hAnsi="Times New Roman" w:cs="Times New Roman"/>
          <w:sz w:val="24"/>
          <w:szCs w:val="24"/>
        </w:rPr>
        <w:t xml:space="preserve"> (zakładka „Konkurs”).</w:t>
      </w:r>
    </w:p>
    <w:p w14:paraId="5AA7CB50" w14:textId="77777777" w:rsidR="0054565D" w:rsidRPr="000419D0" w:rsidRDefault="0054565D" w:rsidP="00F70F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</w:p>
    <w:sectPr w:rsidR="0054565D" w:rsidRPr="000419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D2810"/>
    <w:multiLevelType w:val="multilevel"/>
    <w:tmpl w:val="36327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71EB8"/>
    <w:multiLevelType w:val="multilevel"/>
    <w:tmpl w:val="5A062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C61"/>
    <w:rsid w:val="000419D0"/>
    <w:rsid w:val="001F1DD1"/>
    <w:rsid w:val="00216864"/>
    <w:rsid w:val="003E65EF"/>
    <w:rsid w:val="004F0694"/>
    <w:rsid w:val="0054565D"/>
    <w:rsid w:val="00AF1405"/>
    <w:rsid w:val="00BB3A4B"/>
    <w:rsid w:val="00DC6C61"/>
    <w:rsid w:val="00DD2681"/>
    <w:rsid w:val="00DE08B1"/>
    <w:rsid w:val="00E1176A"/>
    <w:rsid w:val="00E63241"/>
    <w:rsid w:val="00F55371"/>
    <w:rsid w:val="00F7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46FB6"/>
  <w15:chartTrackingRefBased/>
  <w15:docId w15:val="{72BB8AF2-5DA7-40E6-8232-6A281C23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6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6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6C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6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6C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6C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6C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6C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6C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6C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6C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6C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6C6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6C6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6C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6C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6C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6C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6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6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6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6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6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6C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6C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6C6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6C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6C6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6C61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F0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4F0694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0419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irmyrodzinne.pwr.edu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1458</Words>
  <Characters>8749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Dereń</dc:creator>
  <cp:keywords/>
  <dc:description/>
  <cp:lastModifiedBy>Jerzy Tutaj</cp:lastModifiedBy>
  <cp:revision>6</cp:revision>
  <dcterms:created xsi:type="dcterms:W3CDTF">2026-06-30T15:10:00Z</dcterms:created>
  <dcterms:modified xsi:type="dcterms:W3CDTF">2026-06-30T15:37:00Z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eadd4a8b-9e16-4357-9801-10e5b0ea8ed7</vt:lpwstr>
  </property>
</Properties>
</file>